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C1" w:rsidRPr="002A757A" w:rsidRDefault="002420B3" w:rsidP="009236C1">
      <w:pPr>
        <w:pStyle w:val="Nadpis3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Vyhodnotenie maturitnej skúšky 2012</w:t>
      </w:r>
    </w:p>
    <w:p w:rsidR="00962EF4" w:rsidRPr="002A757A" w:rsidRDefault="00962EF4" w:rsidP="007E565E">
      <w:pPr>
        <w:jc w:val="center"/>
        <w:rPr>
          <w:b/>
        </w:rPr>
      </w:pPr>
    </w:p>
    <w:p w:rsidR="009236C1" w:rsidRPr="002A757A" w:rsidRDefault="009236C1" w:rsidP="007E565E">
      <w:pPr>
        <w:jc w:val="center"/>
        <w:rPr>
          <w:b/>
          <w:sz w:val="28"/>
          <w:szCs w:val="28"/>
        </w:rPr>
      </w:pPr>
      <w:r w:rsidRPr="002A757A">
        <w:rPr>
          <w:b/>
          <w:sz w:val="28"/>
          <w:szCs w:val="28"/>
        </w:rPr>
        <w:t xml:space="preserve">Vyhodnotenie EČ </w:t>
      </w:r>
      <w:r w:rsidR="002A757A">
        <w:rPr>
          <w:b/>
          <w:sz w:val="28"/>
          <w:szCs w:val="28"/>
        </w:rPr>
        <w:t>P</w:t>
      </w:r>
      <w:r w:rsidRPr="002A757A">
        <w:rPr>
          <w:b/>
          <w:sz w:val="28"/>
          <w:szCs w:val="28"/>
        </w:rPr>
        <w:t>MS</w:t>
      </w:r>
    </w:p>
    <w:p w:rsidR="009236C1" w:rsidRPr="002A757A" w:rsidRDefault="009236C1" w:rsidP="009236C1">
      <w:pPr>
        <w:jc w:val="center"/>
      </w:pPr>
    </w:p>
    <w:tbl>
      <w:tblPr>
        <w:tblStyle w:val="Mkatabulky"/>
        <w:tblW w:w="5000" w:type="pct"/>
        <w:jc w:val="center"/>
        <w:tblLook w:val="04A0"/>
      </w:tblPr>
      <w:tblGrid>
        <w:gridCol w:w="1831"/>
        <w:gridCol w:w="682"/>
        <w:gridCol w:w="682"/>
        <w:gridCol w:w="682"/>
        <w:gridCol w:w="988"/>
        <w:gridCol w:w="840"/>
        <w:gridCol w:w="767"/>
        <w:gridCol w:w="988"/>
        <w:gridCol w:w="988"/>
        <w:gridCol w:w="840"/>
      </w:tblGrid>
      <w:tr w:rsidR="009236C1" w:rsidRPr="002A757A" w:rsidTr="00962EF4">
        <w:trPr>
          <w:jc w:val="center"/>
        </w:trPr>
        <w:tc>
          <w:tcPr>
            <w:tcW w:w="986" w:type="pct"/>
            <w:vMerge w:val="restart"/>
            <w:textDirection w:val="btLr"/>
          </w:tcPr>
          <w:p w:rsidR="009236C1" w:rsidRPr="002A757A" w:rsidRDefault="009236C1" w:rsidP="009236C1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Predmet</w:t>
            </w:r>
          </w:p>
        </w:tc>
        <w:tc>
          <w:tcPr>
            <w:tcW w:w="4014" w:type="pct"/>
            <w:gridSpan w:val="9"/>
          </w:tcPr>
          <w:p w:rsidR="009236C1" w:rsidRPr="002A757A" w:rsidRDefault="009236C1" w:rsidP="009236C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 xml:space="preserve">EČ PMS </w:t>
            </w:r>
          </w:p>
        </w:tc>
      </w:tr>
      <w:tr w:rsidR="009236C1" w:rsidRPr="002A757A" w:rsidTr="00962EF4">
        <w:trPr>
          <w:jc w:val="center"/>
        </w:trPr>
        <w:tc>
          <w:tcPr>
            <w:tcW w:w="986" w:type="pct"/>
            <w:vMerge/>
          </w:tcPr>
          <w:p w:rsidR="009236C1" w:rsidRPr="002A757A" w:rsidRDefault="009236C1" w:rsidP="00923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4" w:type="pct"/>
            <w:gridSpan w:val="9"/>
          </w:tcPr>
          <w:p w:rsidR="009236C1" w:rsidRPr="002A757A" w:rsidRDefault="009236C1" w:rsidP="009236C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B2</w:t>
            </w:r>
          </w:p>
        </w:tc>
      </w:tr>
      <w:tr w:rsidR="00CA0941" w:rsidRPr="002A757A" w:rsidTr="00962EF4">
        <w:trPr>
          <w:trHeight w:val="565"/>
          <w:jc w:val="center"/>
        </w:trPr>
        <w:tc>
          <w:tcPr>
            <w:tcW w:w="986" w:type="pct"/>
            <w:vMerge/>
          </w:tcPr>
          <w:p w:rsidR="00CA0941" w:rsidRPr="002A757A" w:rsidRDefault="00CA0941" w:rsidP="00923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vAlign w:val="center"/>
          </w:tcPr>
          <w:p w:rsidR="00CA0941" w:rsidRPr="002A757A" w:rsidRDefault="00CA0941" w:rsidP="00CA0941">
            <w:pPr>
              <w:jc w:val="center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Počet žiakov</w:t>
            </w:r>
          </w:p>
        </w:tc>
        <w:tc>
          <w:tcPr>
            <w:tcW w:w="1397" w:type="pct"/>
            <w:gridSpan w:val="3"/>
            <w:vAlign w:val="center"/>
          </w:tcPr>
          <w:p w:rsidR="00CA0941" w:rsidRPr="002A757A" w:rsidRDefault="00CA0941" w:rsidP="00CA0941">
            <w:pPr>
              <w:jc w:val="center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% žiakov</w:t>
            </w:r>
          </w:p>
        </w:tc>
        <w:tc>
          <w:tcPr>
            <w:tcW w:w="1517" w:type="pct"/>
            <w:gridSpan w:val="3"/>
            <w:vAlign w:val="center"/>
          </w:tcPr>
          <w:p w:rsidR="00CA0941" w:rsidRPr="002A757A" w:rsidRDefault="00CA0941" w:rsidP="00CA0941">
            <w:pPr>
              <w:jc w:val="center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Úspešnosť</w:t>
            </w:r>
          </w:p>
        </w:tc>
      </w:tr>
      <w:tr w:rsidR="00962EF4" w:rsidRPr="002A757A" w:rsidTr="00962EF4">
        <w:trPr>
          <w:cantSplit/>
          <w:trHeight w:val="1134"/>
          <w:jc w:val="center"/>
        </w:trPr>
        <w:tc>
          <w:tcPr>
            <w:tcW w:w="986" w:type="pct"/>
            <w:vAlign w:val="center"/>
          </w:tcPr>
          <w:p w:rsidR="00962EF4" w:rsidRPr="002A757A" w:rsidRDefault="00962EF4" w:rsidP="00CA094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Školský rok</w:t>
            </w:r>
          </w:p>
        </w:tc>
        <w:tc>
          <w:tcPr>
            <w:tcW w:w="367" w:type="pct"/>
            <w:textDirection w:val="btLr"/>
            <w:vAlign w:val="center"/>
          </w:tcPr>
          <w:p w:rsidR="00962EF4" w:rsidRPr="002A757A" w:rsidRDefault="00962EF4" w:rsidP="00CA0941">
            <w:pPr>
              <w:ind w:left="113" w:right="113"/>
              <w:jc w:val="left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2008/2009</w:t>
            </w:r>
          </w:p>
        </w:tc>
        <w:tc>
          <w:tcPr>
            <w:tcW w:w="367" w:type="pct"/>
            <w:textDirection w:val="btLr"/>
            <w:vAlign w:val="center"/>
          </w:tcPr>
          <w:p w:rsidR="00962EF4" w:rsidRPr="002A757A" w:rsidRDefault="00962EF4" w:rsidP="00CA0941">
            <w:pPr>
              <w:ind w:left="113" w:right="113"/>
              <w:jc w:val="left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2009/2010</w:t>
            </w:r>
          </w:p>
        </w:tc>
        <w:tc>
          <w:tcPr>
            <w:tcW w:w="367" w:type="pct"/>
            <w:textDirection w:val="btLr"/>
            <w:vAlign w:val="center"/>
          </w:tcPr>
          <w:p w:rsidR="00962EF4" w:rsidRPr="002A757A" w:rsidRDefault="00962EF4" w:rsidP="00CA0941">
            <w:pPr>
              <w:ind w:left="113" w:right="113"/>
              <w:jc w:val="left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2011/2012</w:t>
            </w:r>
          </w:p>
        </w:tc>
        <w:tc>
          <w:tcPr>
            <w:tcW w:w="532" w:type="pct"/>
            <w:textDirection w:val="btLr"/>
            <w:vAlign w:val="center"/>
          </w:tcPr>
          <w:p w:rsidR="00962EF4" w:rsidRPr="002A757A" w:rsidRDefault="00962EF4" w:rsidP="00CA0941">
            <w:pPr>
              <w:ind w:left="113" w:right="113"/>
              <w:jc w:val="left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2008/2009</w:t>
            </w:r>
          </w:p>
        </w:tc>
        <w:tc>
          <w:tcPr>
            <w:tcW w:w="452" w:type="pct"/>
            <w:textDirection w:val="btLr"/>
            <w:vAlign w:val="center"/>
          </w:tcPr>
          <w:p w:rsidR="00962EF4" w:rsidRPr="002A757A" w:rsidRDefault="00962EF4" w:rsidP="00CA0941">
            <w:pPr>
              <w:ind w:left="113" w:right="113"/>
              <w:jc w:val="left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2009/2010</w:t>
            </w:r>
          </w:p>
        </w:tc>
        <w:tc>
          <w:tcPr>
            <w:tcW w:w="412" w:type="pct"/>
            <w:textDirection w:val="btLr"/>
            <w:vAlign w:val="center"/>
          </w:tcPr>
          <w:p w:rsidR="00962EF4" w:rsidRPr="002A757A" w:rsidRDefault="00962EF4" w:rsidP="00CA0941">
            <w:pPr>
              <w:ind w:left="113" w:right="113"/>
              <w:jc w:val="left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2011/2012</w:t>
            </w:r>
          </w:p>
        </w:tc>
        <w:tc>
          <w:tcPr>
            <w:tcW w:w="532" w:type="pct"/>
            <w:textDirection w:val="btLr"/>
            <w:vAlign w:val="center"/>
          </w:tcPr>
          <w:p w:rsidR="00962EF4" w:rsidRPr="002A757A" w:rsidRDefault="00962EF4" w:rsidP="00CA0941">
            <w:pPr>
              <w:ind w:left="113" w:right="113"/>
              <w:jc w:val="left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2008/2009</w:t>
            </w:r>
          </w:p>
        </w:tc>
        <w:tc>
          <w:tcPr>
            <w:tcW w:w="532" w:type="pct"/>
            <w:textDirection w:val="btLr"/>
            <w:vAlign w:val="center"/>
          </w:tcPr>
          <w:p w:rsidR="00962EF4" w:rsidRPr="002A757A" w:rsidRDefault="00962EF4" w:rsidP="00CA0941">
            <w:pPr>
              <w:ind w:left="113" w:right="113"/>
              <w:jc w:val="left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2009/2010</w:t>
            </w:r>
          </w:p>
        </w:tc>
        <w:tc>
          <w:tcPr>
            <w:tcW w:w="452" w:type="pct"/>
            <w:textDirection w:val="btLr"/>
            <w:vAlign w:val="center"/>
          </w:tcPr>
          <w:p w:rsidR="00962EF4" w:rsidRPr="002A757A" w:rsidRDefault="00962EF4" w:rsidP="00CA0941">
            <w:pPr>
              <w:ind w:left="113" w:right="113"/>
              <w:jc w:val="left"/>
              <w:rPr>
                <w:bCs/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2011/2012</w:t>
            </w:r>
          </w:p>
        </w:tc>
      </w:tr>
      <w:tr w:rsidR="00962EF4" w:rsidRPr="002A757A" w:rsidTr="00962EF4">
        <w:trPr>
          <w:jc w:val="center"/>
        </w:trPr>
        <w:tc>
          <w:tcPr>
            <w:tcW w:w="986" w:type="pct"/>
          </w:tcPr>
          <w:p w:rsidR="00962EF4" w:rsidRPr="002A757A" w:rsidRDefault="00962EF4" w:rsidP="009236C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ANJ</w:t>
            </w:r>
          </w:p>
        </w:tc>
        <w:tc>
          <w:tcPr>
            <w:tcW w:w="367" w:type="pct"/>
            <w:vAlign w:val="center"/>
          </w:tcPr>
          <w:p w:rsidR="00962EF4" w:rsidRPr="002A757A" w:rsidRDefault="00962EF4" w:rsidP="00CA0941">
            <w:pPr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367" w:type="pct"/>
            <w:vAlign w:val="center"/>
          </w:tcPr>
          <w:p w:rsidR="00962EF4" w:rsidRPr="002A757A" w:rsidRDefault="00962EF4" w:rsidP="00CA0941">
            <w:pPr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67" w:type="pct"/>
          </w:tcPr>
          <w:p w:rsidR="00962EF4" w:rsidRPr="002A757A" w:rsidRDefault="00962EF4" w:rsidP="009236C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83</w:t>
            </w:r>
          </w:p>
        </w:tc>
        <w:tc>
          <w:tcPr>
            <w:tcW w:w="532" w:type="pct"/>
            <w:vAlign w:val="center"/>
          </w:tcPr>
          <w:p w:rsidR="00962EF4" w:rsidRPr="002A757A" w:rsidRDefault="00962EF4" w:rsidP="00CA0941">
            <w:pPr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19,51</w:t>
            </w:r>
          </w:p>
        </w:tc>
        <w:tc>
          <w:tcPr>
            <w:tcW w:w="452" w:type="pct"/>
            <w:vAlign w:val="center"/>
          </w:tcPr>
          <w:p w:rsidR="00962EF4" w:rsidRPr="002A757A" w:rsidRDefault="00962EF4" w:rsidP="00CA0941">
            <w:pPr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5,68</w:t>
            </w:r>
          </w:p>
        </w:tc>
        <w:tc>
          <w:tcPr>
            <w:tcW w:w="412" w:type="pct"/>
          </w:tcPr>
          <w:p w:rsidR="00962EF4" w:rsidRPr="002A757A" w:rsidRDefault="00962EF4" w:rsidP="009236C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100</w:t>
            </w:r>
          </w:p>
        </w:tc>
        <w:tc>
          <w:tcPr>
            <w:tcW w:w="532" w:type="pct"/>
            <w:vAlign w:val="center"/>
          </w:tcPr>
          <w:p w:rsidR="00962EF4" w:rsidRPr="002A757A" w:rsidRDefault="00962EF4" w:rsidP="00CA0941">
            <w:pPr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59,01</w:t>
            </w:r>
          </w:p>
        </w:tc>
        <w:tc>
          <w:tcPr>
            <w:tcW w:w="532" w:type="pct"/>
            <w:vAlign w:val="center"/>
          </w:tcPr>
          <w:p w:rsidR="00962EF4" w:rsidRPr="002A757A" w:rsidRDefault="00962EF4" w:rsidP="00CA0941">
            <w:pPr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70,82</w:t>
            </w:r>
          </w:p>
        </w:tc>
        <w:tc>
          <w:tcPr>
            <w:tcW w:w="452" w:type="pct"/>
          </w:tcPr>
          <w:p w:rsidR="00962EF4" w:rsidRPr="002A757A" w:rsidRDefault="00962EF4" w:rsidP="009236C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46,1</w:t>
            </w:r>
          </w:p>
        </w:tc>
      </w:tr>
    </w:tbl>
    <w:p w:rsidR="009236C1" w:rsidRPr="002A757A" w:rsidRDefault="009236C1" w:rsidP="009236C1">
      <w:pPr>
        <w:jc w:val="center"/>
      </w:pPr>
    </w:p>
    <w:p w:rsidR="00CA0941" w:rsidRPr="002A757A" w:rsidRDefault="00CA0941" w:rsidP="009236C1">
      <w:pPr>
        <w:jc w:val="center"/>
      </w:pPr>
    </w:p>
    <w:p w:rsidR="000A4859" w:rsidRPr="002A757A" w:rsidRDefault="000A4859" w:rsidP="000A4859">
      <w:pPr>
        <w:jc w:val="center"/>
        <w:rPr>
          <w:noProof/>
        </w:rPr>
      </w:pPr>
      <w:r w:rsidRPr="002A757A">
        <w:t>EČ PMS ANJ B2 - úspešnosť v %</w:t>
      </w:r>
    </w:p>
    <w:p w:rsidR="00CA0941" w:rsidRPr="002A757A" w:rsidRDefault="00CA0941" w:rsidP="009236C1">
      <w:pPr>
        <w:jc w:val="center"/>
      </w:pPr>
    </w:p>
    <w:p w:rsidR="00CA0941" w:rsidRPr="002A757A" w:rsidRDefault="007E565E" w:rsidP="009236C1">
      <w:pPr>
        <w:jc w:val="center"/>
      </w:pPr>
      <w:r w:rsidRPr="002A757A">
        <w:rPr>
          <w:noProof/>
        </w:rPr>
        <w:drawing>
          <wp:inline distT="0" distB="0" distL="0" distR="0">
            <wp:extent cx="5127481" cy="3183147"/>
            <wp:effectExtent l="19050" t="0" r="16019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36C1" w:rsidRPr="002A757A" w:rsidRDefault="009236C1" w:rsidP="009236C1">
      <w:pPr>
        <w:jc w:val="center"/>
      </w:pPr>
    </w:p>
    <w:p w:rsidR="009F7B26" w:rsidRPr="002A757A" w:rsidRDefault="009F7B26" w:rsidP="009236C1">
      <w:pPr>
        <w:jc w:val="center"/>
      </w:pPr>
    </w:p>
    <w:p w:rsidR="009236C1" w:rsidRPr="002A757A" w:rsidRDefault="009236C1" w:rsidP="009236C1">
      <w:pPr>
        <w:jc w:val="center"/>
      </w:pPr>
    </w:p>
    <w:p w:rsidR="009236C1" w:rsidRPr="002A757A" w:rsidRDefault="009236C1" w:rsidP="009236C1">
      <w:pPr>
        <w:jc w:val="center"/>
      </w:pPr>
    </w:p>
    <w:tbl>
      <w:tblPr>
        <w:tblpPr w:leftFromText="141" w:rightFromText="141" w:vertAnchor="text" w:horzAnchor="margin" w:tblpXSpec="center" w:tblpY="164"/>
        <w:tblW w:w="5000" w:type="pct"/>
        <w:tblCellMar>
          <w:left w:w="70" w:type="dxa"/>
          <w:right w:w="70" w:type="dxa"/>
        </w:tblCellMar>
        <w:tblLook w:val="04A0"/>
      </w:tblPr>
      <w:tblGrid>
        <w:gridCol w:w="1062"/>
        <w:gridCol w:w="707"/>
        <w:gridCol w:w="707"/>
        <w:gridCol w:w="707"/>
        <w:gridCol w:w="1034"/>
        <w:gridCol w:w="1034"/>
        <w:gridCol w:w="1034"/>
        <w:gridCol w:w="1034"/>
        <w:gridCol w:w="1034"/>
        <w:gridCol w:w="859"/>
      </w:tblGrid>
      <w:tr w:rsidR="009236C1" w:rsidRPr="002A757A" w:rsidTr="00962EF4">
        <w:trPr>
          <w:trHeight w:val="269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236C1" w:rsidRPr="002A757A" w:rsidRDefault="009236C1" w:rsidP="007E565E">
            <w:pPr>
              <w:jc w:val="center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Predmet</w:t>
            </w:r>
          </w:p>
        </w:tc>
        <w:tc>
          <w:tcPr>
            <w:tcW w:w="442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C1" w:rsidRPr="002A757A" w:rsidRDefault="00962EF4" w:rsidP="007E565E">
            <w:pPr>
              <w:jc w:val="center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EČ PMS</w:t>
            </w:r>
          </w:p>
        </w:tc>
      </w:tr>
      <w:tr w:rsidR="009236C1" w:rsidRPr="002A757A" w:rsidTr="00962EF4">
        <w:trPr>
          <w:trHeight w:val="218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236C1" w:rsidRPr="002A757A" w:rsidRDefault="009236C1" w:rsidP="007E56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6C1" w:rsidRPr="002A757A" w:rsidRDefault="009236C1" w:rsidP="007E565E">
            <w:pPr>
              <w:jc w:val="center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Počet žiakov</w:t>
            </w:r>
          </w:p>
        </w:tc>
        <w:tc>
          <w:tcPr>
            <w:tcW w:w="1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6C1" w:rsidRPr="002A757A" w:rsidRDefault="009236C1" w:rsidP="007E565E">
            <w:pPr>
              <w:jc w:val="center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% žiakov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EF4" w:rsidRPr="002A757A" w:rsidRDefault="009236C1" w:rsidP="00962EF4">
            <w:pPr>
              <w:jc w:val="center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Úspešnosť</w:t>
            </w:r>
          </w:p>
        </w:tc>
      </w:tr>
      <w:tr w:rsidR="007E565E" w:rsidRPr="002A757A" w:rsidTr="00962EF4">
        <w:trPr>
          <w:cantSplit/>
          <w:trHeight w:val="114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5E" w:rsidRPr="002A757A" w:rsidRDefault="007E565E" w:rsidP="007E565E">
            <w:pPr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565E" w:rsidRPr="002A757A" w:rsidRDefault="007E565E" w:rsidP="007E565E">
            <w:pPr>
              <w:ind w:left="113" w:right="113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2008/2009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565E" w:rsidRPr="002A757A" w:rsidRDefault="007E565E" w:rsidP="007E565E">
            <w:pPr>
              <w:ind w:left="113" w:right="113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2009/2010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565E" w:rsidRPr="002A757A" w:rsidRDefault="000A4859" w:rsidP="007E565E">
            <w:pPr>
              <w:ind w:left="113" w:right="113"/>
              <w:rPr>
                <w:bCs/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2011/2012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565E" w:rsidRPr="002A757A" w:rsidRDefault="007E565E" w:rsidP="007E565E">
            <w:pPr>
              <w:ind w:left="113" w:right="113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2008/2009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565E" w:rsidRPr="002A757A" w:rsidRDefault="007E565E" w:rsidP="007E565E">
            <w:pPr>
              <w:ind w:left="113" w:right="113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2009/2010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565E" w:rsidRPr="002A757A" w:rsidRDefault="000A4859" w:rsidP="007E565E">
            <w:pPr>
              <w:ind w:left="113" w:right="113"/>
              <w:rPr>
                <w:bCs/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2011/2012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565E" w:rsidRPr="002A757A" w:rsidRDefault="007E565E" w:rsidP="000A4859">
            <w:pPr>
              <w:ind w:left="113" w:right="113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2008/20</w:t>
            </w:r>
            <w:r w:rsidR="000A4859" w:rsidRPr="002A757A">
              <w:rPr>
                <w:bCs/>
                <w:noProof/>
                <w:sz w:val="20"/>
                <w:szCs w:val="20"/>
              </w:rPr>
              <w:t>09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565E" w:rsidRPr="002A757A" w:rsidRDefault="007E565E" w:rsidP="007E565E">
            <w:pPr>
              <w:ind w:left="113" w:right="113"/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2009/2010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565E" w:rsidRPr="002A757A" w:rsidRDefault="000A4859" w:rsidP="007E565E">
            <w:pPr>
              <w:ind w:left="113" w:right="113"/>
              <w:rPr>
                <w:bCs/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2011/2012</w:t>
            </w:r>
          </w:p>
        </w:tc>
      </w:tr>
      <w:tr w:rsidR="007E565E" w:rsidRPr="002A757A" w:rsidTr="00962EF4">
        <w:trPr>
          <w:trHeight w:val="37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65E" w:rsidRPr="002A757A" w:rsidRDefault="007E565E" w:rsidP="007E565E">
            <w:pPr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MAT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30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0A4859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30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36,59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27,27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0A4859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36,14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63,44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67,09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0A4859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63,2</w:t>
            </w:r>
          </w:p>
        </w:tc>
      </w:tr>
      <w:tr w:rsidR="007E565E" w:rsidRPr="002A757A" w:rsidTr="00962EF4">
        <w:trPr>
          <w:trHeight w:val="37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65E" w:rsidRPr="002A757A" w:rsidRDefault="007E565E" w:rsidP="007E565E">
            <w:pPr>
              <w:rPr>
                <w:bCs/>
                <w:sz w:val="20"/>
                <w:szCs w:val="20"/>
              </w:rPr>
            </w:pPr>
            <w:r w:rsidRPr="002A757A">
              <w:rPr>
                <w:bCs/>
                <w:sz w:val="20"/>
                <w:szCs w:val="20"/>
              </w:rPr>
              <w:t>SJL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82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88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0A4859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83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65E" w:rsidRPr="002A757A" w:rsidRDefault="000A4859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0A4859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100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74,21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7E565E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68,52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65E" w:rsidRPr="002A757A" w:rsidRDefault="000A4859" w:rsidP="007E565E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66,5</w:t>
            </w:r>
          </w:p>
        </w:tc>
      </w:tr>
    </w:tbl>
    <w:p w:rsidR="009236C1" w:rsidRPr="002A757A" w:rsidRDefault="000A4859" w:rsidP="000A4859">
      <w:pPr>
        <w:jc w:val="center"/>
        <w:rPr>
          <w:noProof/>
        </w:rPr>
      </w:pPr>
      <w:r w:rsidRPr="002A757A">
        <w:lastRenderedPageBreak/>
        <w:t>EČ PMS MAT - ú</w:t>
      </w:r>
      <w:r w:rsidR="009236C1" w:rsidRPr="002A757A">
        <w:t>spešnosť v %</w:t>
      </w:r>
    </w:p>
    <w:p w:rsidR="009236C1" w:rsidRPr="002A757A" w:rsidRDefault="009236C1" w:rsidP="009236C1">
      <w:pPr>
        <w:jc w:val="center"/>
        <w:rPr>
          <w:b/>
          <w:u w:val="single"/>
        </w:rPr>
      </w:pPr>
    </w:p>
    <w:p w:rsidR="009236C1" w:rsidRPr="002A757A" w:rsidRDefault="009236C1" w:rsidP="009236C1">
      <w:pPr>
        <w:jc w:val="center"/>
        <w:rPr>
          <w:b/>
          <w:u w:val="single"/>
        </w:rPr>
      </w:pPr>
    </w:p>
    <w:p w:rsidR="009F7B26" w:rsidRPr="002A757A" w:rsidRDefault="000A4859" w:rsidP="009F7B26">
      <w:pPr>
        <w:jc w:val="center"/>
        <w:rPr>
          <w:b/>
          <w:u w:val="single"/>
        </w:rPr>
      </w:pPr>
      <w:r w:rsidRPr="002A757A">
        <w:rPr>
          <w:b/>
          <w:noProof/>
          <w:u w:val="single"/>
        </w:rPr>
        <w:drawing>
          <wp:inline distT="0" distB="0" distL="0" distR="0">
            <wp:extent cx="5423319" cy="3234905"/>
            <wp:effectExtent l="19050" t="0" r="24981" b="3595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A4859" w:rsidRPr="002A757A" w:rsidRDefault="000A4859" w:rsidP="009236C1">
      <w:pPr>
        <w:jc w:val="center"/>
        <w:rPr>
          <w:b/>
          <w:u w:val="single"/>
        </w:rPr>
      </w:pPr>
    </w:p>
    <w:p w:rsidR="009F7B26" w:rsidRPr="002A757A" w:rsidRDefault="009F7B26" w:rsidP="009F7B26">
      <w:pPr>
        <w:jc w:val="center"/>
        <w:rPr>
          <w:b/>
          <w:u w:val="single"/>
        </w:rPr>
      </w:pPr>
    </w:p>
    <w:p w:rsidR="0062038D" w:rsidRPr="002A757A" w:rsidRDefault="0062038D" w:rsidP="009F7B26">
      <w:pPr>
        <w:jc w:val="center"/>
      </w:pPr>
    </w:p>
    <w:p w:rsidR="009F7B26" w:rsidRPr="002A757A" w:rsidRDefault="009F7B26" w:rsidP="009F7B26">
      <w:pPr>
        <w:jc w:val="center"/>
        <w:rPr>
          <w:noProof/>
        </w:rPr>
      </w:pPr>
      <w:r w:rsidRPr="002A757A">
        <w:t>EČ PMS SJL - úspešnosť v %</w:t>
      </w:r>
    </w:p>
    <w:p w:rsidR="009236C1" w:rsidRPr="002A757A" w:rsidRDefault="009236C1" w:rsidP="009236C1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9F7B26" w:rsidRPr="002A757A" w:rsidRDefault="009F7B26" w:rsidP="009F7B26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A757A">
        <w:rPr>
          <w:b/>
          <w:bCs/>
          <w:i/>
          <w:iCs/>
          <w:noProof/>
          <w:sz w:val="28"/>
          <w:szCs w:val="28"/>
        </w:rPr>
        <w:drawing>
          <wp:inline distT="0" distB="0" distL="0" distR="0">
            <wp:extent cx="5476456" cy="3174521"/>
            <wp:effectExtent l="19050" t="0" r="9944" b="6829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7B26" w:rsidRPr="002A757A" w:rsidRDefault="009F7B26" w:rsidP="009236C1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7E565E" w:rsidRPr="002A757A" w:rsidRDefault="007E565E" w:rsidP="007E565E"/>
    <w:p w:rsidR="009F7B26" w:rsidRPr="002A757A" w:rsidRDefault="009F7B26" w:rsidP="007E565E"/>
    <w:p w:rsidR="009F7B26" w:rsidRPr="002A757A" w:rsidRDefault="009F7B26" w:rsidP="007E565E"/>
    <w:p w:rsidR="009F7B26" w:rsidRPr="002A757A" w:rsidRDefault="009F7B26" w:rsidP="007E565E"/>
    <w:p w:rsidR="009F7B26" w:rsidRPr="002A757A" w:rsidRDefault="0062038D" w:rsidP="002A757A">
      <w:pPr>
        <w:jc w:val="center"/>
        <w:rPr>
          <w:b/>
          <w:sz w:val="28"/>
          <w:szCs w:val="28"/>
        </w:rPr>
      </w:pPr>
      <w:r w:rsidRPr="002A757A">
        <w:rPr>
          <w:b/>
          <w:sz w:val="28"/>
          <w:szCs w:val="28"/>
        </w:rPr>
        <w:lastRenderedPageBreak/>
        <w:t>Vyhodnotenie ústnych  maturitných  skúšok</w:t>
      </w:r>
    </w:p>
    <w:p w:rsidR="007E565E" w:rsidRPr="002A757A" w:rsidRDefault="007E565E" w:rsidP="007E565E"/>
    <w:p w:rsidR="007E565E" w:rsidRPr="002A757A" w:rsidRDefault="007E565E" w:rsidP="007E565E">
      <w:pPr>
        <w:rPr>
          <w:b/>
        </w:rPr>
      </w:pP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840"/>
        <w:gridCol w:w="840"/>
        <w:gridCol w:w="840"/>
        <w:gridCol w:w="840"/>
        <w:gridCol w:w="840"/>
        <w:gridCol w:w="840"/>
        <w:gridCol w:w="1260"/>
      </w:tblGrid>
      <w:tr w:rsidR="002A757A" w:rsidRPr="002A757A" w:rsidTr="00E21A81">
        <w:trPr>
          <w:trHeight w:val="195"/>
        </w:trPr>
        <w:tc>
          <w:tcPr>
            <w:tcW w:w="3348" w:type="dxa"/>
            <w:vMerge w:val="restart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Predmet</w:t>
            </w:r>
          </w:p>
        </w:tc>
        <w:tc>
          <w:tcPr>
            <w:tcW w:w="840" w:type="dxa"/>
            <w:vMerge w:val="restart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Počet žiakov</w:t>
            </w:r>
          </w:p>
        </w:tc>
        <w:tc>
          <w:tcPr>
            <w:tcW w:w="4200" w:type="dxa"/>
            <w:gridSpan w:val="5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Známky</w:t>
            </w:r>
          </w:p>
        </w:tc>
        <w:tc>
          <w:tcPr>
            <w:tcW w:w="1260" w:type="dxa"/>
            <w:vMerge w:val="restart"/>
            <w:vAlign w:val="center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Priemer</w:t>
            </w:r>
          </w:p>
        </w:tc>
      </w:tr>
      <w:tr w:rsidR="002A757A" w:rsidRPr="002A757A" w:rsidTr="00E21A81">
        <w:trPr>
          <w:trHeight w:val="270"/>
        </w:trPr>
        <w:tc>
          <w:tcPr>
            <w:tcW w:w="3348" w:type="dxa"/>
            <w:vMerge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Merge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anglický jazyk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81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biológia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1,67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dejepis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fyzika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1,63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geografia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1,82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chémia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1,40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informatika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1,21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matematika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1,70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občianska náuka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1,86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nemecký jazyk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2A757A" w:rsidRPr="002A757A" w:rsidTr="00E21A81">
        <w:tc>
          <w:tcPr>
            <w:tcW w:w="3348" w:type="dxa"/>
            <w:vAlign w:val="center"/>
          </w:tcPr>
          <w:p w:rsidR="002A757A" w:rsidRPr="002A757A" w:rsidRDefault="002A757A" w:rsidP="00E21A81">
            <w:pPr>
              <w:rPr>
                <w:sz w:val="18"/>
                <w:szCs w:val="18"/>
              </w:rPr>
            </w:pPr>
            <w:r w:rsidRPr="002A757A">
              <w:rPr>
                <w:sz w:val="18"/>
                <w:szCs w:val="18"/>
              </w:rPr>
              <w:t>slovenský jazyk a literatúra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</w:tcPr>
          <w:p w:rsidR="002A757A" w:rsidRPr="002A757A" w:rsidRDefault="002A757A" w:rsidP="00E21A81">
            <w:pPr>
              <w:jc w:val="center"/>
              <w:rPr>
                <w:sz w:val="20"/>
                <w:szCs w:val="20"/>
              </w:rPr>
            </w:pPr>
            <w:r w:rsidRPr="002A757A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color w:val="000000"/>
              </w:rPr>
            </w:pPr>
            <w:r w:rsidRPr="002A757A">
              <w:rPr>
                <w:color w:val="000000"/>
                <w:sz w:val="22"/>
                <w:szCs w:val="22"/>
              </w:rPr>
              <w:t>1,72</w:t>
            </w:r>
          </w:p>
        </w:tc>
      </w:tr>
      <w:tr w:rsidR="002A757A" w:rsidRPr="002A757A" w:rsidTr="00E21A81">
        <w:tc>
          <w:tcPr>
            <w:tcW w:w="3348" w:type="dxa"/>
          </w:tcPr>
          <w:p w:rsidR="002A757A" w:rsidRPr="002A757A" w:rsidRDefault="002A757A" w:rsidP="00E21A81">
            <w:pPr>
              <w:rPr>
                <w:b/>
                <w:sz w:val="20"/>
                <w:szCs w:val="20"/>
              </w:rPr>
            </w:pPr>
            <w:r w:rsidRPr="002A757A">
              <w:rPr>
                <w:b/>
                <w:sz w:val="20"/>
                <w:szCs w:val="20"/>
              </w:rPr>
              <w:t>Spolu a priemer školy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b/>
                <w:color w:val="000000"/>
              </w:rPr>
            </w:pPr>
            <w:r w:rsidRPr="002A757A">
              <w:rPr>
                <w:b/>
                <w:color w:val="000000"/>
                <w:sz w:val="22"/>
                <w:szCs w:val="22"/>
              </w:rPr>
              <w:t>324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b/>
                <w:color w:val="000000"/>
              </w:rPr>
            </w:pPr>
            <w:r w:rsidRPr="002A757A">
              <w:rPr>
                <w:b/>
                <w:color w:val="000000"/>
                <w:sz w:val="22"/>
                <w:szCs w:val="22"/>
              </w:rPr>
              <w:t>163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b/>
                <w:color w:val="000000"/>
              </w:rPr>
            </w:pPr>
            <w:r w:rsidRPr="002A757A">
              <w:rPr>
                <w:b/>
                <w:color w:val="000000"/>
                <w:sz w:val="22"/>
                <w:szCs w:val="22"/>
              </w:rPr>
              <w:t>109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b/>
                <w:color w:val="000000"/>
              </w:rPr>
            </w:pPr>
            <w:r w:rsidRPr="002A757A"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b/>
                <w:color w:val="000000"/>
              </w:rPr>
            </w:pPr>
            <w:r w:rsidRPr="002A757A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vAlign w:val="bottom"/>
          </w:tcPr>
          <w:p w:rsidR="002A757A" w:rsidRPr="002A757A" w:rsidRDefault="002A757A" w:rsidP="00E21A81">
            <w:pPr>
              <w:jc w:val="center"/>
              <w:rPr>
                <w:b/>
                <w:color w:val="000000"/>
              </w:rPr>
            </w:pPr>
            <w:r w:rsidRPr="002A757A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bottom"/>
          </w:tcPr>
          <w:p w:rsidR="002A757A" w:rsidRPr="002A757A" w:rsidRDefault="002A757A" w:rsidP="00E21A81">
            <w:pPr>
              <w:jc w:val="center"/>
              <w:rPr>
                <w:b/>
                <w:color w:val="000000"/>
              </w:rPr>
            </w:pPr>
            <w:r w:rsidRPr="002A757A">
              <w:rPr>
                <w:b/>
                <w:color w:val="000000"/>
                <w:sz w:val="22"/>
                <w:szCs w:val="22"/>
              </w:rPr>
              <w:t>1,67</w:t>
            </w:r>
          </w:p>
        </w:tc>
      </w:tr>
    </w:tbl>
    <w:p w:rsidR="001E1178" w:rsidRPr="002A757A" w:rsidRDefault="001E1178"/>
    <w:sectPr w:rsidR="001E1178" w:rsidRPr="002A757A" w:rsidSect="001E1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36C1"/>
    <w:rsid w:val="00021793"/>
    <w:rsid w:val="000A4859"/>
    <w:rsid w:val="000F1CA2"/>
    <w:rsid w:val="001B5A9B"/>
    <w:rsid w:val="001E1178"/>
    <w:rsid w:val="002420B3"/>
    <w:rsid w:val="002445EA"/>
    <w:rsid w:val="002A757A"/>
    <w:rsid w:val="004D65C2"/>
    <w:rsid w:val="0062038D"/>
    <w:rsid w:val="00624BB2"/>
    <w:rsid w:val="0070724B"/>
    <w:rsid w:val="007E565E"/>
    <w:rsid w:val="009236C1"/>
    <w:rsid w:val="00962EF4"/>
    <w:rsid w:val="0098656A"/>
    <w:rsid w:val="009F7B26"/>
    <w:rsid w:val="00AC02E5"/>
    <w:rsid w:val="00B93D4D"/>
    <w:rsid w:val="00CA0941"/>
    <w:rsid w:val="00CD35E1"/>
    <w:rsid w:val="00D41828"/>
    <w:rsid w:val="00E11B39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6C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qFormat/>
    <w:rsid w:val="009236C1"/>
    <w:pPr>
      <w:keepNext/>
      <w:spacing w:before="240" w:after="60"/>
      <w:outlineLvl w:val="2"/>
    </w:pPr>
    <w:rPr>
      <w:rFonts w:ascii="Arial" w:hAnsi="Ari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36C1"/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923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09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941"/>
    <w:rPr>
      <w:rFonts w:ascii="Tahoma" w:eastAsia="Times New Roman" w:hAnsi="Tahoma" w:cs="Tahoma"/>
      <w:sz w:val="16"/>
      <w:szCs w:val="16"/>
      <w:lang w:eastAsia="sk-SK"/>
    </w:rPr>
  </w:style>
  <w:style w:type="paragraph" w:styleId="Odstavecseseznamem">
    <w:name w:val="List Paragraph"/>
    <w:basedOn w:val="Normln"/>
    <w:uiPriority w:val="34"/>
    <w:qFormat/>
    <w:rsid w:val="007E56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style val="26"/>
  <c:chart>
    <c:plotArea>
      <c:layout/>
      <c:barChart>
        <c:barDir val="col"/>
        <c:grouping val="clustered"/>
        <c:ser>
          <c:idx val="1"/>
          <c:order val="0"/>
          <c:tx>
            <c:strRef>
              <c:f>Hárok1!$C$1</c:f>
              <c:strCache>
                <c:ptCount val="1"/>
                <c:pt idx="0">
                  <c:v>2008/2009</c:v>
                </c:pt>
              </c:strCache>
            </c:strRef>
          </c:tx>
          <c:dLbls>
            <c:dLbl>
              <c:idx val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sk-SK"/>
                </a:p>
              </c:txPr>
            </c:dLbl>
            <c:showVal val="1"/>
          </c:dLbls>
          <c:cat>
            <c:numRef>
              <c:f>Hárok1!$A$2</c:f>
              <c:numCache>
                <c:formatCode>General</c:formatCode>
                <c:ptCount val="1"/>
                <c:pt idx="0">
                  <c:v>79</c:v>
                </c:pt>
              </c:numCache>
            </c:numRef>
          </c:cat>
          <c:val>
            <c:numRef>
              <c:f>Hárok1!$C$2</c:f>
              <c:numCache>
                <c:formatCode>General</c:formatCode>
                <c:ptCount val="1"/>
                <c:pt idx="0">
                  <c:v>59.01</c:v>
                </c:pt>
              </c:numCache>
            </c:numRef>
          </c:val>
        </c:ser>
        <c:ser>
          <c:idx val="2"/>
          <c:order val="1"/>
          <c:tx>
            <c:strRef>
              <c:f>Hárok1!$D$1</c:f>
              <c:strCache>
                <c:ptCount val="1"/>
                <c:pt idx="0">
                  <c:v>2009/2010</c:v>
                </c:pt>
              </c:strCache>
            </c:strRef>
          </c:tx>
          <c:dLbls>
            <c:showVal val="1"/>
          </c:dLbls>
          <c:cat>
            <c:numRef>
              <c:f>Hárok1!$A$2</c:f>
              <c:numCache>
                <c:formatCode>General</c:formatCode>
                <c:ptCount val="1"/>
                <c:pt idx="0">
                  <c:v>79</c:v>
                </c:pt>
              </c:numCache>
            </c:numRef>
          </c:cat>
          <c:val>
            <c:numRef>
              <c:f>Hárok1!$D$2</c:f>
              <c:numCache>
                <c:formatCode>General</c:formatCode>
                <c:ptCount val="1"/>
                <c:pt idx="0">
                  <c:v>70.819999999999993</c:v>
                </c:pt>
              </c:numCache>
            </c:numRef>
          </c:val>
        </c:ser>
        <c:ser>
          <c:idx val="3"/>
          <c:order val="2"/>
          <c:tx>
            <c:strRef>
              <c:f>Hárok1!$E$1</c:f>
              <c:strCache>
                <c:ptCount val="1"/>
                <c:pt idx="0">
                  <c:v>2011/2012</c:v>
                </c:pt>
              </c:strCache>
            </c:strRef>
          </c:tx>
          <c:dLbls>
            <c:showVal val="1"/>
          </c:dLbls>
          <c:cat>
            <c:numRef>
              <c:f>Hárok1!$A$2</c:f>
              <c:numCache>
                <c:formatCode>General</c:formatCode>
                <c:ptCount val="1"/>
                <c:pt idx="0">
                  <c:v>79</c:v>
                </c:pt>
              </c:numCache>
            </c:numRef>
          </c:cat>
          <c:val>
            <c:numRef>
              <c:f>Hárok1!$E$2</c:f>
              <c:numCache>
                <c:formatCode>General</c:formatCode>
                <c:ptCount val="1"/>
                <c:pt idx="0">
                  <c:v>46.1</c:v>
                </c:pt>
              </c:numCache>
            </c:numRef>
          </c:val>
        </c:ser>
        <c:overlap val="-30"/>
        <c:axId val="60237312"/>
        <c:axId val="60238848"/>
      </c:barChart>
      <c:catAx>
        <c:axId val="60237312"/>
        <c:scaling>
          <c:orientation val="minMax"/>
        </c:scaling>
        <c:delete val="1"/>
        <c:axPos val="b"/>
        <c:numFmt formatCode="General" sourceLinked="1"/>
        <c:tickLblPos val="none"/>
        <c:crossAx val="60238848"/>
        <c:crosses val="autoZero"/>
        <c:auto val="1"/>
        <c:lblAlgn val="ctr"/>
        <c:lblOffset val="100"/>
      </c:catAx>
      <c:valAx>
        <c:axId val="60238848"/>
        <c:scaling>
          <c:orientation val="minMax"/>
        </c:scaling>
        <c:axPos val="l"/>
        <c:majorGridlines/>
        <c:numFmt formatCode="General" sourceLinked="1"/>
        <c:tickLblPos val="nextTo"/>
        <c:crossAx val="60237312"/>
        <c:crosses val="autoZero"/>
        <c:crossBetween val="between"/>
      </c:valAx>
    </c:plotArea>
    <c:legend>
      <c:legendPos val="b"/>
    </c:legend>
    <c:plotVisOnly val="1"/>
  </c:chart>
  <c:spPr>
    <a:solidFill>
      <a:srgbClr val="97D997"/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2008/2009</c:v>
                </c:pt>
              </c:strCache>
            </c:strRef>
          </c:tx>
          <c:dLbls>
            <c:showVal val="1"/>
          </c:dLbls>
          <c:cat>
            <c:numRef>
              <c:f>Hárok1!$A$2</c:f>
              <c:numCache>
                <c:formatCode>General</c:formatCode>
                <c:ptCount val="1"/>
                <c:pt idx="0">
                  <c:v>36.14</c:v>
                </c:pt>
              </c:numCache>
            </c:numRef>
          </c:cat>
          <c:val>
            <c:numRef>
              <c:f>Hárok1!$B$2</c:f>
              <c:numCache>
                <c:formatCode>General</c:formatCode>
                <c:ptCount val="1"/>
                <c:pt idx="0">
                  <c:v>63.44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2009/2010</c:v>
                </c:pt>
              </c:strCache>
            </c:strRef>
          </c:tx>
          <c:dLbls>
            <c:showVal val="1"/>
          </c:dLbls>
          <c:cat>
            <c:numRef>
              <c:f>Hárok1!$A$2</c:f>
              <c:numCache>
                <c:formatCode>General</c:formatCode>
                <c:ptCount val="1"/>
                <c:pt idx="0">
                  <c:v>36.14</c:v>
                </c:pt>
              </c:numCache>
            </c:numRef>
          </c:cat>
          <c:val>
            <c:numRef>
              <c:f>Hárok1!$C$2</c:f>
              <c:numCache>
                <c:formatCode>General</c:formatCode>
                <c:ptCount val="1"/>
                <c:pt idx="0">
                  <c:v>67.09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2011/20122</c:v>
                </c:pt>
              </c:strCache>
            </c:strRef>
          </c:tx>
          <c:dLbls>
            <c:showVal val="1"/>
          </c:dLbls>
          <c:cat>
            <c:numRef>
              <c:f>Hárok1!$A$2</c:f>
              <c:numCache>
                <c:formatCode>General</c:formatCode>
                <c:ptCount val="1"/>
                <c:pt idx="0">
                  <c:v>36.14</c:v>
                </c:pt>
              </c:numCache>
            </c:numRef>
          </c:cat>
          <c:val>
            <c:numRef>
              <c:f>Hárok1!$D$2</c:f>
              <c:numCache>
                <c:formatCode>General</c:formatCode>
                <c:ptCount val="1"/>
                <c:pt idx="0">
                  <c:v>63.2</c:v>
                </c:pt>
              </c:numCache>
            </c:numRef>
          </c:val>
        </c:ser>
        <c:overlap val="-30"/>
        <c:axId val="64507904"/>
        <c:axId val="64509440"/>
      </c:barChart>
      <c:catAx>
        <c:axId val="64507904"/>
        <c:scaling>
          <c:orientation val="minMax"/>
        </c:scaling>
        <c:delete val="1"/>
        <c:axPos val="b"/>
        <c:numFmt formatCode="General" sourceLinked="1"/>
        <c:tickLblPos val="none"/>
        <c:crossAx val="64509440"/>
        <c:crosses val="autoZero"/>
        <c:auto val="1"/>
        <c:lblAlgn val="ctr"/>
        <c:lblOffset val="100"/>
      </c:catAx>
      <c:valAx>
        <c:axId val="64509440"/>
        <c:scaling>
          <c:orientation val="minMax"/>
        </c:scaling>
        <c:axPos val="l"/>
        <c:majorGridlines/>
        <c:numFmt formatCode="General" sourceLinked="1"/>
        <c:tickLblPos val="nextTo"/>
        <c:crossAx val="64507904"/>
        <c:crosses val="autoZero"/>
        <c:crossBetween val="between"/>
      </c:valAx>
    </c:plotArea>
    <c:legend>
      <c:legendPos val="b"/>
    </c:legend>
    <c:plotVisOnly val="1"/>
  </c:chart>
  <c:spPr>
    <a:solidFill>
      <a:srgbClr val="97D997"/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k-SK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2008/2009</c:v>
                </c:pt>
              </c:strCache>
            </c:strRef>
          </c:tx>
          <c:dLbls>
            <c:showVal val="1"/>
          </c:dLbls>
          <c:cat>
            <c:numRef>
              <c:f>Hárok1!$A$2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Hárok1!$B$2</c:f>
              <c:numCache>
                <c:formatCode>General</c:formatCode>
                <c:ptCount val="1"/>
                <c:pt idx="0">
                  <c:v>74.209999999999994</c:v>
                </c:pt>
              </c:numCache>
            </c:numRef>
          </c:val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2009/2010</c:v>
                </c:pt>
              </c:strCache>
            </c:strRef>
          </c:tx>
          <c:dLbls>
            <c:showVal val="1"/>
          </c:dLbls>
          <c:cat>
            <c:numRef>
              <c:f>Hárok1!$A$2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Hárok1!$C$2</c:f>
              <c:numCache>
                <c:formatCode>General</c:formatCode>
                <c:ptCount val="1"/>
                <c:pt idx="0">
                  <c:v>68.52</c:v>
                </c:pt>
              </c:numCache>
            </c:numRef>
          </c:val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2011/20122</c:v>
                </c:pt>
              </c:strCache>
            </c:strRef>
          </c:tx>
          <c:dLbls>
            <c:showVal val="1"/>
          </c:dLbls>
          <c:cat>
            <c:numRef>
              <c:f>Hárok1!$A$2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cat>
          <c:val>
            <c:numRef>
              <c:f>Hárok1!$D$2</c:f>
              <c:numCache>
                <c:formatCode>General</c:formatCode>
                <c:ptCount val="1"/>
                <c:pt idx="0">
                  <c:v>66.5</c:v>
                </c:pt>
              </c:numCache>
            </c:numRef>
          </c:val>
        </c:ser>
        <c:overlap val="-30"/>
        <c:axId val="60116352"/>
        <c:axId val="60155008"/>
      </c:barChart>
      <c:catAx>
        <c:axId val="60116352"/>
        <c:scaling>
          <c:orientation val="minMax"/>
        </c:scaling>
        <c:delete val="1"/>
        <c:axPos val="b"/>
        <c:numFmt formatCode="General" sourceLinked="1"/>
        <c:tickLblPos val="none"/>
        <c:crossAx val="60155008"/>
        <c:crosses val="autoZero"/>
        <c:auto val="1"/>
        <c:lblAlgn val="ctr"/>
        <c:lblOffset val="100"/>
      </c:catAx>
      <c:valAx>
        <c:axId val="60155008"/>
        <c:scaling>
          <c:orientation val="minMax"/>
        </c:scaling>
        <c:axPos val="l"/>
        <c:majorGridlines/>
        <c:numFmt formatCode="General" sourceLinked="1"/>
        <c:tickLblPos val="nextTo"/>
        <c:crossAx val="60116352"/>
        <c:crosses val="autoZero"/>
        <c:crossBetween val="between"/>
      </c:valAx>
    </c:plotArea>
    <c:legend>
      <c:legendPos val="b"/>
    </c:legend>
    <c:plotVisOnly val="1"/>
  </c:chart>
  <c:spPr>
    <a:solidFill>
      <a:srgbClr val="97D997"/>
    </a:solidFill>
  </c:spPr>
  <c:externalData r:id="rId1"/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skola</cp:lastModifiedBy>
  <cp:revision>4</cp:revision>
  <dcterms:created xsi:type="dcterms:W3CDTF">2012-05-31T18:07:00Z</dcterms:created>
  <dcterms:modified xsi:type="dcterms:W3CDTF">2012-06-14T06:15:00Z</dcterms:modified>
</cp:coreProperties>
</file>